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A8F0" w14:textId="77777777" w:rsidR="00464551" w:rsidRDefault="00464551" w:rsidP="00464551">
      <w:pPr>
        <w:pStyle w:val="NormalWeb"/>
        <w:jc w:val="center"/>
        <w:rPr>
          <w:color w:val="000000"/>
          <w:sz w:val="27"/>
          <w:szCs w:val="27"/>
        </w:rPr>
      </w:pPr>
      <w:r w:rsidRPr="598C1809">
        <w:rPr>
          <w:rFonts w:ascii="Calibri" w:hAnsi="Calibri"/>
          <w:b/>
          <w:bCs/>
          <w:color w:val="000000" w:themeColor="text1"/>
          <w:sz w:val="36"/>
          <w:szCs w:val="36"/>
          <w:u w:val="single"/>
        </w:rPr>
        <w:t>Ordensreglement</w:t>
      </w:r>
    </w:p>
    <w:p w14:paraId="4D8F6068" w14:textId="43FE046B" w:rsidR="598C1809" w:rsidRDefault="598C1809" w:rsidP="598C1809">
      <w:pPr>
        <w:pStyle w:val="NormalWeb"/>
        <w:jc w:val="center"/>
        <w:rPr>
          <w:rFonts w:ascii="Calibri" w:hAnsi="Calibri"/>
          <w:b/>
          <w:bCs/>
          <w:color w:val="000000" w:themeColor="text1"/>
          <w:sz w:val="36"/>
          <w:szCs w:val="36"/>
          <w:u w:val="single"/>
        </w:rPr>
      </w:pPr>
    </w:p>
    <w:p w14:paraId="019B0DF9" w14:textId="77777777" w:rsidR="00464551" w:rsidRDefault="00464551" w:rsidP="598C1809">
      <w:pPr>
        <w:pStyle w:val="NormalWeb"/>
        <w:rPr>
          <w:b/>
          <w:bCs/>
          <w:color w:val="000000"/>
          <w:sz w:val="27"/>
          <w:szCs w:val="27"/>
        </w:rPr>
      </w:pPr>
      <w:r w:rsidRPr="598C1809">
        <w:rPr>
          <w:rFonts w:ascii="Calibri" w:hAnsi="Calibri"/>
          <w:b/>
          <w:bCs/>
          <w:color w:val="000000" w:themeColor="text1"/>
          <w:sz w:val="28"/>
          <w:szCs w:val="28"/>
          <w:u w:val="single"/>
        </w:rPr>
        <w:t>Græsslåning/Motorredskaber</w:t>
      </w:r>
    </w:p>
    <w:p w14:paraId="52D24A0C" w14:textId="77777777" w:rsidR="00464551" w:rsidRDefault="00464551" w:rsidP="00464551">
      <w:pPr>
        <w:pStyle w:val="NormalWeb"/>
        <w:jc w:val="both"/>
        <w:rPr>
          <w:color w:val="000000"/>
          <w:sz w:val="27"/>
          <w:szCs w:val="27"/>
        </w:rPr>
      </w:pPr>
      <w:r>
        <w:rPr>
          <w:rFonts w:ascii="Calibri" w:hAnsi="Calibri"/>
          <w:color w:val="000000"/>
          <w:sz w:val="28"/>
          <w:szCs w:val="28"/>
        </w:rPr>
        <w:t>§ 1: Grundejere har pligt til at lade slå græsset i perioderne 15/5 - 31/5 samt 15/8 - 31/8. Græsslåning og anvendelse af enhver form for motorredskab må i perioden 1/5 - 30/9 kun finde sted i tidsrummene mandag-fredag kl. 9-20, lørdag-søndag og helligdage kl. 10-12 og kl. 15-18.</w:t>
      </w:r>
    </w:p>
    <w:p w14:paraId="73F816C5" w14:textId="77777777" w:rsidR="00464551" w:rsidRDefault="00464551" w:rsidP="00464551">
      <w:pPr>
        <w:pStyle w:val="NormalWeb"/>
        <w:jc w:val="both"/>
        <w:rPr>
          <w:color w:val="000000"/>
          <w:sz w:val="27"/>
          <w:szCs w:val="27"/>
        </w:rPr>
      </w:pPr>
      <w:r>
        <w:rPr>
          <w:rFonts w:ascii="Calibri" w:hAnsi="Calibri"/>
          <w:color w:val="000000"/>
          <w:sz w:val="28"/>
          <w:szCs w:val="28"/>
        </w:rPr>
        <w:t>Grundejerne har pligt til at holde deres grund, samt de tilstødende stier og rabatter. Ved beplantning bør vises videst muligt hensyn til naboer. Beskæring af hæk, hegn, buske og træer jfr. Hegnsloven.</w:t>
      </w:r>
    </w:p>
    <w:p w14:paraId="3914BC84" w14:textId="77777777" w:rsidR="00464551" w:rsidRDefault="00464551" w:rsidP="00464551">
      <w:pPr>
        <w:pStyle w:val="NormalWeb"/>
        <w:jc w:val="both"/>
        <w:rPr>
          <w:rFonts w:ascii="Calibri" w:hAnsi="Calibri"/>
          <w:color w:val="000000" w:themeColor="text1"/>
          <w:sz w:val="28"/>
          <w:szCs w:val="28"/>
        </w:rPr>
      </w:pPr>
      <w:r w:rsidRPr="598C1809">
        <w:rPr>
          <w:rFonts w:ascii="Calibri" w:hAnsi="Calibri"/>
          <w:color w:val="000000" w:themeColor="text1"/>
          <w:sz w:val="28"/>
          <w:szCs w:val="28"/>
        </w:rPr>
        <w:t>Såfremt foranstående ikke overholdes eller forsømmes eller grundene anvendes på en sådan måde, at det skæmmer området som helhed, er bestyrelsen jfr. foreningens vedtægter § 5 berigtiget til at lade det nødvendige arbejde udføre og opkræve de af bestyrelsen fastsatte udgifter hos vedkommende.</w:t>
      </w:r>
    </w:p>
    <w:p w14:paraId="6954B77A" w14:textId="65A10CC9" w:rsidR="007B65B8" w:rsidRDefault="007B65B8" w:rsidP="00464551">
      <w:pPr>
        <w:pStyle w:val="NormalWeb"/>
        <w:jc w:val="both"/>
        <w:rPr>
          <w:color w:val="000000"/>
          <w:sz w:val="27"/>
          <w:szCs w:val="27"/>
        </w:rPr>
      </w:pPr>
      <w:r>
        <w:rPr>
          <w:rFonts w:ascii="Calibri" w:hAnsi="Calibri"/>
          <w:color w:val="000000" w:themeColor="text1"/>
          <w:sz w:val="28"/>
          <w:szCs w:val="28"/>
        </w:rPr>
        <w:t xml:space="preserve">§ 1 gælder ikke for robotplæneklippere. </w:t>
      </w:r>
    </w:p>
    <w:p w14:paraId="277211E4" w14:textId="1677778F" w:rsidR="598C1809" w:rsidRDefault="598C1809" w:rsidP="598C1809">
      <w:pPr>
        <w:pStyle w:val="NormalWeb"/>
        <w:jc w:val="both"/>
        <w:rPr>
          <w:rFonts w:ascii="Calibri" w:hAnsi="Calibri"/>
          <w:color w:val="000000" w:themeColor="text1"/>
          <w:sz w:val="28"/>
          <w:szCs w:val="28"/>
        </w:rPr>
      </w:pPr>
    </w:p>
    <w:p w14:paraId="3ABBCEC7"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Afbrænding</w:t>
      </w:r>
    </w:p>
    <w:p w14:paraId="69D03DA9" w14:textId="297F4EDD" w:rsidR="00464551" w:rsidRDefault="00464551" w:rsidP="00464551">
      <w:pPr>
        <w:pStyle w:val="NormalWeb"/>
        <w:jc w:val="both"/>
        <w:rPr>
          <w:color w:val="000000"/>
          <w:sz w:val="27"/>
          <w:szCs w:val="27"/>
        </w:rPr>
      </w:pPr>
      <w:r w:rsidRPr="598C1809">
        <w:rPr>
          <w:rFonts w:ascii="Calibri" w:hAnsi="Calibri"/>
          <w:color w:val="000000" w:themeColor="text1"/>
          <w:sz w:val="28"/>
          <w:szCs w:val="28"/>
        </w:rPr>
        <w:t xml:space="preserve">§ 2: I </w:t>
      </w:r>
      <w:r w:rsidR="007B65B8">
        <w:rPr>
          <w:rFonts w:ascii="Calibri" w:hAnsi="Calibri"/>
          <w:color w:val="000000" w:themeColor="text1"/>
          <w:sz w:val="28"/>
          <w:szCs w:val="28"/>
        </w:rPr>
        <w:t>overensstemmelse med reglerne i Gribskov Kommune</w:t>
      </w:r>
      <w:r w:rsidRPr="598C1809">
        <w:rPr>
          <w:rFonts w:ascii="Calibri" w:hAnsi="Calibri"/>
          <w:color w:val="000000" w:themeColor="text1"/>
          <w:sz w:val="28"/>
          <w:szCs w:val="28"/>
        </w:rPr>
        <w:t xml:space="preserve"> må afbrænding af haveaffald ikke finde sted.</w:t>
      </w:r>
      <w:r w:rsidR="007B65B8">
        <w:rPr>
          <w:rFonts w:ascii="Calibri" w:hAnsi="Calibri"/>
          <w:color w:val="000000" w:themeColor="text1"/>
          <w:sz w:val="28"/>
          <w:szCs w:val="28"/>
        </w:rPr>
        <w:t xml:space="preserve"> Mindre bålsteder eller lignende er dog tilladt. </w:t>
      </w:r>
    </w:p>
    <w:p w14:paraId="0154B840" w14:textId="592DE6C1" w:rsidR="598C1809" w:rsidRDefault="598C1809" w:rsidP="598C1809">
      <w:pPr>
        <w:pStyle w:val="NormalWeb"/>
        <w:jc w:val="both"/>
        <w:rPr>
          <w:rFonts w:ascii="Calibri" w:hAnsi="Calibri"/>
          <w:color w:val="000000" w:themeColor="text1"/>
          <w:sz w:val="28"/>
          <w:szCs w:val="28"/>
        </w:rPr>
      </w:pPr>
    </w:p>
    <w:p w14:paraId="024D8E7C"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Fartbegrænsning og parkering</w:t>
      </w:r>
    </w:p>
    <w:p w14:paraId="5E013CF3" w14:textId="77777777" w:rsidR="00464551" w:rsidRDefault="00464551" w:rsidP="00464551">
      <w:pPr>
        <w:pStyle w:val="NormalWeb"/>
        <w:jc w:val="both"/>
        <w:rPr>
          <w:color w:val="000000"/>
          <w:sz w:val="27"/>
          <w:szCs w:val="27"/>
        </w:rPr>
      </w:pPr>
      <w:r>
        <w:rPr>
          <w:rFonts w:ascii="Calibri" w:hAnsi="Calibri"/>
          <w:color w:val="000000"/>
          <w:sz w:val="28"/>
          <w:szCs w:val="28"/>
        </w:rPr>
        <w:t>§ 3: Højeste tilladte hastighed på grundejerforeningens område er 30 km i timen og der skal tages størst muligt hensyn til gående trafik. Motorkørsel skal begrænses mest muligt.</w:t>
      </w:r>
    </w:p>
    <w:p w14:paraId="7840BA21" w14:textId="77777777" w:rsidR="00464551" w:rsidRDefault="00464551" w:rsidP="00464551">
      <w:pPr>
        <w:pStyle w:val="NormalWeb"/>
        <w:jc w:val="both"/>
        <w:rPr>
          <w:rFonts w:ascii="Calibri" w:hAnsi="Calibri"/>
          <w:color w:val="000000" w:themeColor="text1"/>
          <w:sz w:val="28"/>
          <w:szCs w:val="28"/>
        </w:rPr>
      </w:pPr>
      <w:r w:rsidRPr="598C1809">
        <w:rPr>
          <w:rFonts w:ascii="Calibri" w:hAnsi="Calibri"/>
          <w:color w:val="000000" w:themeColor="text1"/>
          <w:sz w:val="28"/>
          <w:szCs w:val="28"/>
        </w:rPr>
        <w:t>Parkering på vejene må kun finde sted, når det påbudte parkeringsareal på grunden til to biler er udnyttet og køretøjer skal i så tilfælde anbringes i egen rabat.</w:t>
      </w:r>
    </w:p>
    <w:p w14:paraId="31AABDE8" w14:textId="7F5D7657" w:rsidR="007B65B8" w:rsidRPr="007B65B8" w:rsidRDefault="007B65B8" w:rsidP="00464551">
      <w:pPr>
        <w:pStyle w:val="NormalWeb"/>
        <w:jc w:val="both"/>
        <w:rPr>
          <w:rFonts w:ascii="Calibri" w:hAnsi="Calibri"/>
          <w:color w:val="000000" w:themeColor="text1"/>
          <w:sz w:val="28"/>
          <w:szCs w:val="28"/>
        </w:rPr>
      </w:pPr>
      <w:r w:rsidRPr="007B65B8">
        <w:rPr>
          <w:rFonts w:ascii="Calibri" w:hAnsi="Calibri"/>
          <w:color w:val="000000" w:themeColor="text1"/>
          <w:sz w:val="28"/>
          <w:szCs w:val="28"/>
        </w:rPr>
        <w:lastRenderedPageBreak/>
        <w:t>Parkering på vendepladser må kun finde sted i meget kort tid, og må ikke være til ulempe eller hindre fremkommeligheden for renovationsbiler, brandbiler m.v.</w:t>
      </w:r>
    </w:p>
    <w:p w14:paraId="0BC0FC76" w14:textId="5DF5AE9B" w:rsidR="598C1809" w:rsidRDefault="598C1809" w:rsidP="598C1809">
      <w:pPr>
        <w:pStyle w:val="NormalWeb"/>
        <w:jc w:val="both"/>
        <w:rPr>
          <w:rFonts w:ascii="Calibri" w:hAnsi="Calibri"/>
          <w:color w:val="000000" w:themeColor="text1"/>
          <w:sz w:val="28"/>
          <w:szCs w:val="28"/>
        </w:rPr>
      </w:pPr>
    </w:p>
    <w:p w14:paraId="6E4CF129"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Husdyr</w:t>
      </w:r>
    </w:p>
    <w:p w14:paraId="5C1AA350" w14:textId="77777777" w:rsidR="00464551" w:rsidRDefault="00464551" w:rsidP="00464551">
      <w:pPr>
        <w:pStyle w:val="NormalWeb"/>
        <w:jc w:val="both"/>
        <w:rPr>
          <w:color w:val="000000"/>
          <w:sz w:val="27"/>
          <w:szCs w:val="27"/>
        </w:rPr>
      </w:pPr>
      <w:r w:rsidRPr="598C1809">
        <w:rPr>
          <w:rFonts w:ascii="Calibri" w:hAnsi="Calibri"/>
          <w:color w:val="000000" w:themeColor="text1"/>
          <w:sz w:val="28"/>
          <w:szCs w:val="28"/>
        </w:rPr>
        <w:t>§ 4: Hunde og andre husdyr må ikke færdes løse på veje og fællesarealer. Ejerne har pligt til at påse, at husdyr ikke er til gene for de omkringboende.</w:t>
      </w:r>
    </w:p>
    <w:p w14:paraId="2D1E33B8" w14:textId="5EDF3B3D" w:rsidR="598C1809" w:rsidRDefault="598C1809" w:rsidP="598C1809">
      <w:pPr>
        <w:pStyle w:val="NormalWeb"/>
        <w:jc w:val="both"/>
        <w:rPr>
          <w:rFonts w:ascii="Calibri" w:hAnsi="Calibri"/>
          <w:color w:val="000000" w:themeColor="text1"/>
          <w:sz w:val="28"/>
          <w:szCs w:val="28"/>
        </w:rPr>
      </w:pPr>
    </w:p>
    <w:p w14:paraId="57F0F4EB"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Hensyn til omkringboende</w:t>
      </w:r>
    </w:p>
    <w:p w14:paraId="3F6D7C03" w14:textId="77777777" w:rsidR="00464551" w:rsidRDefault="00464551" w:rsidP="00464551">
      <w:pPr>
        <w:pStyle w:val="NormalWeb"/>
        <w:jc w:val="both"/>
        <w:rPr>
          <w:color w:val="000000"/>
          <w:sz w:val="27"/>
          <w:szCs w:val="27"/>
        </w:rPr>
      </w:pPr>
      <w:r w:rsidRPr="598C1809">
        <w:rPr>
          <w:rFonts w:ascii="Calibri" w:hAnsi="Calibri"/>
          <w:color w:val="000000" w:themeColor="text1"/>
          <w:sz w:val="28"/>
          <w:szCs w:val="28"/>
        </w:rPr>
        <w:t>§ 5: Støj fra TV og musikanlæg m.m. skal begrænses under hensyntagen til de omkringboende. Man bør betænke, at lukkede døre og vinduer ikke altid er tilstrækkeligt.</w:t>
      </w:r>
    </w:p>
    <w:p w14:paraId="1E915F07" w14:textId="6F1B5520" w:rsidR="598C1809" w:rsidRDefault="598C1809" w:rsidP="598C1809">
      <w:pPr>
        <w:pStyle w:val="NormalWeb"/>
        <w:jc w:val="both"/>
        <w:rPr>
          <w:rFonts w:ascii="Calibri" w:hAnsi="Calibri"/>
          <w:color w:val="000000" w:themeColor="text1"/>
          <w:sz w:val="28"/>
          <w:szCs w:val="28"/>
        </w:rPr>
      </w:pPr>
    </w:p>
    <w:p w14:paraId="014FB28A"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Skydevåben</w:t>
      </w:r>
    </w:p>
    <w:p w14:paraId="71E0ABA4" w14:textId="77777777" w:rsidR="00464551" w:rsidRDefault="00464551" w:rsidP="00464551">
      <w:pPr>
        <w:pStyle w:val="NormalWeb"/>
        <w:jc w:val="both"/>
        <w:rPr>
          <w:color w:val="000000"/>
          <w:sz w:val="27"/>
          <w:szCs w:val="27"/>
        </w:rPr>
      </w:pPr>
      <w:r w:rsidRPr="598C1809">
        <w:rPr>
          <w:rFonts w:ascii="Calibri" w:hAnsi="Calibri"/>
          <w:color w:val="000000" w:themeColor="text1"/>
          <w:sz w:val="28"/>
          <w:szCs w:val="28"/>
        </w:rPr>
        <w:t>§ 6: Skydevåben må ikke anvendes på grundejerforeningens område.</w:t>
      </w:r>
    </w:p>
    <w:p w14:paraId="08A8ECAB" w14:textId="3AE87F55" w:rsidR="598C1809" w:rsidRDefault="598C1809" w:rsidP="598C1809">
      <w:pPr>
        <w:pStyle w:val="NormalWeb"/>
        <w:jc w:val="both"/>
        <w:rPr>
          <w:rFonts w:ascii="Calibri" w:hAnsi="Calibri"/>
          <w:color w:val="000000" w:themeColor="text1"/>
          <w:sz w:val="28"/>
          <w:szCs w:val="28"/>
        </w:rPr>
      </w:pPr>
    </w:p>
    <w:p w14:paraId="6516DCDA"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Ejendomsretten</w:t>
      </w:r>
    </w:p>
    <w:p w14:paraId="125D78A8" w14:textId="032694D9" w:rsidR="00464551" w:rsidRDefault="00464551" w:rsidP="00464551">
      <w:pPr>
        <w:pStyle w:val="NormalWeb"/>
        <w:jc w:val="both"/>
        <w:rPr>
          <w:color w:val="000000"/>
          <w:sz w:val="27"/>
          <w:szCs w:val="27"/>
        </w:rPr>
      </w:pPr>
      <w:r w:rsidRPr="598C1809">
        <w:rPr>
          <w:rFonts w:ascii="Calibri" w:hAnsi="Calibri"/>
          <w:color w:val="000000" w:themeColor="text1"/>
          <w:sz w:val="28"/>
          <w:szCs w:val="28"/>
        </w:rPr>
        <w:t>§ 7: Ejendomsretten skal ubetinget respekteres. Man må således ikke færdes på fremmede grunde, medmindre man har tilladelse dertil. Undtaget herfra er nødstilfælde (brand, indbrud, hærværk el. lign.)</w:t>
      </w:r>
    </w:p>
    <w:p w14:paraId="7120492C" w14:textId="67CACBEF" w:rsidR="598C1809" w:rsidRDefault="598C1809" w:rsidP="598C1809">
      <w:pPr>
        <w:pStyle w:val="NormalWeb"/>
        <w:jc w:val="both"/>
        <w:rPr>
          <w:rFonts w:ascii="Calibri" w:hAnsi="Calibri"/>
          <w:color w:val="000000" w:themeColor="text1"/>
          <w:sz w:val="28"/>
          <w:szCs w:val="28"/>
        </w:rPr>
      </w:pPr>
    </w:p>
    <w:p w14:paraId="689EA3E2"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t>Erstatningspligt</w:t>
      </w:r>
    </w:p>
    <w:p w14:paraId="3F972F11" w14:textId="77777777" w:rsidR="00464551" w:rsidRDefault="00464551" w:rsidP="00464551">
      <w:pPr>
        <w:pStyle w:val="NormalWeb"/>
        <w:jc w:val="both"/>
        <w:rPr>
          <w:color w:val="000000"/>
          <w:sz w:val="27"/>
          <w:szCs w:val="27"/>
        </w:rPr>
      </w:pPr>
      <w:r w:rsidRPr="598C1809">
        <w:rPr>
          <w:rFonts w:ascii="Calibri" w:hAnsi="Calibri"/>
          <w:color w:val="000000" w:themeColor="text1"/>
          <w:sz w:val="28"/>
          <w:szCs w:val="28"/>
        </w:rPr>
        <w:t>§ 8: Grundejere, der udlejer eller udlåner deres ejendom, har det fulde ansvar og dermed erstatningspligt for skader, deres lejere, gæster og disses eventuelle børn forvolder på fremmed ejendom. De er endvidere pligtige til at gøre lejere bekendt med dette ordensreglement.</w:t>
      </w:r>
    </w:p>
    <w:p w14:paraId="1EDDD45F" w14:textId="6670899D" w:rsidR="598C1809" w:rsidRDefault="598C1809" w:rsidP="598C1809">
      <w:pPr>
        <w:pStyle w:val="NormalWeb"/>
        <w:jc w:val="both"/>
        <w:rPr>
          <w:rFonts w:ascii="Calibri" w:hAnsi="Calibri"/>
          <w:color w:val="000000" w:themeColor="text1"/>
          <w:sz w:val="28"/>
          <w:szCs w:val="28"/>
        </w:rPr>
      </w:pPr>
    </w:p>
    <w:p w14:paraId="47619AE8" w14:textId="77777777" w:rsidR="00464551" w:rsidRDefault="00464551" w:rsidP="598C1809">
      <w:pPr>
        <w:pStyle w:val="NormalWeb"/>
        <w:jc w:val="both"/>
        <w:rPr>
          <w:b/>
          <w:bCs/>
          <w:color w:val="000000"/>
          <w:sz w:val="27"/>
          <w:szCs w:val="27"/>
        </w:rPr>
      </w:pPr>
      <w:r w:rsidRPr="598C1809">
        <w:rPr>
          <w:rFonts w:ascii="Calibri" w:hAnsi="Calibri"/>
          <w:b/>
          <w:bCs/>
          <w:color w:val="000000" w:themeColor="text1"/>
          <w:sz w:val="28"/>
          <w:szCs w:val="28"/>
          <w:u w:val="single"/>
        </w:rPr>
        <w:lastRenderedPageBreak/>
        <w:t>Generelt</w:t>
      </w:r>
    </w:p>
    <w:p w14:paraId="59A480E1" w14:textId="77777777" w:rsidR="00464551" w:rsidRDefault="00464551" w:rsidP="00464551">
      <w:pPr>
        <w:pStyle w:val="NormalWeb"/>
        <w:jc w:val="both"/>
        <w:rPr>
          <w:color w:val="000000"/>
          <w:sz w:val="27"/>
          <w:szCs w:val="27"/>
        </w:rPr>
      </w:pPr>
      <w:r>
        <w:rPr>
          <w:rFonts w:ascii="Calibri" w:hAnsi="Calibri"/>
          <w:color w:val="000000"/>
          <w:sz w:val="28"/>
          <w:szCs w:val="28"/>
        </w:rPr>
        <w:t>§ 9: Det henstilles til samtlige medlemmer ved deres adfærd under ophold indenfor grundejerforeningens område at medvirke til, at der hersker orden og rolige forhold.</w:t>
      </w:r>
    </w:p>
    <w:p w14:paraId="70046877" w14:textId="77777777" w:rsidR="00464551" w:rsidRDefault="00464551" w:rsidP="00464551">
      <w:pPr>
        <w:pStyle w:val="NormalWeb"/>
        <w:jc w:val="both"/>
        <w:rPr>
          <w:color w:val="000000"/>
          <w:sz w:val="27"/>
          <w:szCs w:val="27"/>
        </w:rPr>
      </w:pPr>
      <w:r>
        <w:rPr>
          <w:rFonts w:ascii="Calibri" w:hAnsi="Calibri"/>
          <w:color w:val="000000"/>
          <w:sz w:val="28"/>
          <w:szCs w:val="28"/>
        </w:rPr>
        <w:t>I øvrigt henvises til grundejerforeningens vedtægter.</w:t>
      </w:r>
    </w:p>
    <w:p w14:paraId="30C25339" w14:textId="77777777" w:rsidR="00464551" w:rsidRDefault="00464551" w:rsidP="00464551">
      <w:pPr>
        <w:pStyle w:val="NormalWeb"/>
        <w:jc w:val="both"/>
        <w:rPr>
          <w:color w:val="000000"/>
          <w:sz w:val="27"/>
          <w:szCs w:val="27"/>
        </w:rPr>
      </w:pPr>
      <w:r w:rsidRPr="7FE4943C">
        <w:rPr>
          <w:rFonts w:ascii="Calibri" w:hAnsi="Calibri"/>
          <w:color w:val="000000" w:themeColor="text1"/>
          <w:sz w:val="28"/>
          <w:szCs w:val="28"/>
        </w:rPr>
        <w:t>Nærværende ordensreglement er i enhver henseende bindende for samtlige medlemmer af grundejerforeningen.</w:t>
      </w:r>
    </w:p>
    <w:p w14:paraId="28DAABDC" w14:textId="01B088DF" w:rsidR="7FE4943C" w:rsidRDefault="7FE4943C" w:rsidP="7FE4943C">
      <w:pPr>
        <w:pStyle w:val="NormalWeb"/>
        <w:jc w:val="both"/>
        <w:rPr>
          <w:rFonts w:ascii="Calibri" w:hAnsi="Calibri"/>
          <w:color w:val="000000" w:themeColor="text1"/>
          <w:sz w:val="28"/>
          <w:szCs w:val="28"/>
        </w:rPr>
      </w:pPr>
    </w:p>
    <w:p w14:paraId="6EC02E8F" w14:textId="3AB59D3E" w:rsidR="7FE4943C" w:rsidRDefault="7FE4943C" w:rsidP="7FE4943C">
      <w:pPr>
        <w:pStyle w:val="NormalWeb"/>
        <w:jc w:val="both"/>
        <w:rPr>
          <w:rFonts w:ascii="Calibri" w:hAnsi="Calibri"/>
          <w:color w:val="000000" w:themeColor="text1"/>
          <w:sz w:val="28"/>
          <w:szCs w:val="28"/>
        </w:rPr>
      </w:pPr>
    </w:p>
    <w:p w14:paraId="6E7BEAA2" w14:textId="77777777" w:rsidR="00464551" w:rsidRDefault="00464551" w:rsidP="00464551">
      <w:pPr>
        <w:pStyle w:val="NormalWeb"/>
        <w:jc w:val="both"/>
        <w:rPr>
          <w:color w:val="000000"/>
          <w:sz w:val="27"/>
          <w:szCs w:val="27"/>
        </w:rPr>
      </w:pPr>
      <w:r>
        <w:rPr>
          <w:rFonts w:ascii="Calibri" w:hAnsi="Calibri"/>
          <w:color w:val="000000"/>
          <w:sz w:val="28"/>
          <w:szCs w:val="28"/>
        </w:rPr>
        <w:t> </w:t>
      </w:r>
    </w:p>
    <w:p w14:paraId="672A6659" w14:textId="019AFFEB" w:rsidR="00242CEA" w:rsidRDefault="00464551" w:rsidP="598C1809">
      <w:pPr>
        <w:pStyle w:val="NormalWeb"/>
        <w:jc w:val="both"/>
        <w:rPr>
          <w:color w:val="000000" w:themeColor="text1"/>
          <w:sz w:val="27"/>
          <w:szCs w:val="27"/>
        </w:rPr>
      </w:pPr>
      <w:r w:rsidRPr="598C1809">
        <w:rPr>
          <w:rFonts w:ascii="Calibri" w:hAnsi="Calibri"/>
          <w:color w:val="000000" w:themeColor="text1"/>
          <w:sz w:val="28"/>
          <w:szCs w:val="28"/>
        </w:rPr>
        <w:t>Således vedtaget på grundejerforeningens ordinære generalforsamling den 2</w:t>
      </w:r>
      <w:r w:rsidR="00B64242">
        <w:rPr>
          <w:rFonts w:ascii="Calibri" w:hAnsi="Calibri"/>
          <w:color w:val="000000" w:themeColor="text1"/>
          <w:sz w:val="28"/>
          <w:szCs w:val="28"/>
        </w:rPr>
        <w:t>6</w:t>
      </w:r>
      <w:r w:rsidRPr="598C1809">
        <w:rPr>
          <w:rFonts w:ascii="Calibri" w:hAnsi="Calibri"/>
          <w:color w:val="000000" w:themeColor="text1"/>
          <w:sz w:val="28"/>
          <w:szCs w:val="28"/>
        </w:rPr>
        <w:t xml:space="preserve">. </w:t>
      </w:r>
      <w:r w:rsidR="00B64242">
        <w:rPr>
          <w:rFonts w:ascii="Calibri" w:hAnsi="Calibri"/>
          <w:color w:val="000000" w:themeColor="text1"/>
          <w:sz w:val="28"/>
          <w:szCs w:val="28"/>
        </w:rPr>
        <w:t>april</w:t>
      </w:r>
      <w:r w:rsidRPr="598C1809">
        <w:rPr>
          <w:rFonts w:ascii="Calibri" w:hAnsi="Calibri"/>
          <w:color w:val="000000" w:themeColor="text1"/>
          <w:sz w:val="28"/>
          <w:szCs w:val="28"/>
        </w:rPr>
        <w:t xml:space="preserve"> </w:t>
      </w:r>
      <w:r w:rsidR="00B64242">
        <w:rPr>
          <w:rFonts w:ascii="Calibri" w:hAnsi="Calibri"/>
          <w:color w:val="000000" w:themeColor="text1"/>
          <w:sz w:val="28"/>
          <w:szCs w:val="28"/>
        </w:rPr>
        <w:t>2026</w:t>
      </w:r>
      <w:r w:rsidRPr="598C1809">
        <w:rPr>
          <w:rFonts w:ascii="Calibri" w:hAnsi="Calibri"/>
          <w:color w:val="000000" w:themeColor="text1"/>
          <w:sz w:val="28"/>
          <w:szCs w:val="28"/>
        </w:rPr>
        <w:t>.</w:t>
      </w:r>
    </w:p>
    <w:sectPr w:rsidR="00242CEA" w:rsidSect="00242CEA">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553D" w14:textId="77777777" w:rsidR="00493FB9" w:rsidRDefault="00493FB9" w:rsidP="007B65B8">
      <w:pPr>
        <w:spacing w:after="0" w:line="240" w:lineRule="auto"/>
      </w:pPr>
      <w:r>
        <w:separator/>
      </w:r>
    </w:p>
  </w:endnote>
  <w:endnote w:type="continuationSeparator" w:id="0">
    <w:p w14:paraId="1803EE8A" w14:textId="77777777" w:rsidR="00493FB9" w:rsidRDefault="00493FB9" w:rsidP="007B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5188" w14:textId="77777777" w:rsidR="00493FB9" w:rsidRDefault="00493FB9" w:rsidP="007B65B8">
      <w:pPr>
        <w:spacing w:after="0" w:line="240" w:lineRule="auto"/>
      </w:pPr>
      <w:r>
        <w:separator/>
      </w:r>
    </w:p>
  </w:footnote>
  <w:footnote w:type="continuationSeparator" w:id="0">
    <w:p w14:paraId="2A0A922D" w14:textId="77777777" w:rsidR="00493FB9" w:rsidRDefault="00493FB9" w:rsidP="007B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5397" w14:textId="48FC34EB" w:rsidR="007B65B8" w:rsidRDefault="007B65B8" w:rsidP="007B65B8">
    <w:pPr>
      <w:pStyle w:val="Header"/>
      <w:jc w:val="right"/>
    </w:pPr>
    <w:r>
      <w:t>Senest opdateret på baggrund af generalforsamling den 26. april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51"/>
    <w:rsid w:val="00016E47"/>
    <w:rsid w:val="00075DF3"/>
    <w:rsid w:val="00156001"/>
    <w:rsid w:val="001C5C27"/>
    <w:rsid w:val="001D6A9D"/>
    <w:rsid w:val="00242CEA"/>
    <w:rsid w:val="00257A10"/>
    <w:rsid w:val="002D34BF"/>
    <w:rsid w:val="00356685"/>
    <w:rsid w:val="003B39BA"/>
    <w:rsid w:val="00432886"/>
    <w:rsid w:val="00464551"/>
    <w:rsid w:val="00484F4C"/>
    <w:rsid w:val="00493FB9"/>
    <w:rsid w:val="00596A6F"/>
    <w:rsid w:val="00665701"/>
    <w:rsid w:val="00712B99"/>
    <w:rsid w:val="007411F5"/>
    <w:rsid w:val="007B65B8"/>
    <w:rsid w:val="008548E7"/>
    <w:rsid w:val="00864BCA"/>
    <w:rsid w:val="008E7B07"/>
    <w:rsid w:val="009150B2"/>
    <w:rsid w:val="00AE5218"/>
    <w:rsid w:val="00AF411A"/>
    <w:rsid w:val="00B16132"/>
    <w:rsid w:val="00B64242"/>
    <w:rsid w:val="00B70162"/>
    <w:rsid w:val="00C42FAE"/>
    <w:rsid w:val="00F9710F"/>
    <w:rsid w:val="00FF152A"/>
    <w:rsid w:val="04B93BBD"/>
    <w:rsid w:val="3D907254"/>
    <w:rsid w:val="598C1809"/>
    <w:rsid w:val="60FADC18"/>
    <w:rsid w:val="7FE4943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FD3"/>
  <w15:docId w15:val="{E9F21628-E996-449A-A846-334B5B5B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55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Header">
    <w:name w:val="header"/>
    <w:basedOn w:val="Normal"/>
    <w:link w:val="HeaderChar"/>
    <w:uiPriority w:val="99"/>
    <w:unhideWhenUsed/>
    <w:rsid w:val="007B65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65B8"/>
  </w:style>
  <w:style w:type="paragraph" w:styleId="Footer">
    <w:name w:val="footer"/>
    <w:basedOn w:val="Normal"/>
    <w:link w:val="FooterChar"/>
    <w:uiPriority w:val="99"/>
    <w:unhideWhenUsed/>
    <w:rsid w:val="007B65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7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2507</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dc:creator>
  <cp:lastModifiedBy>Thomas Bach</cp:lastModifiedBy>
  <cp:revision>3</cp:revision>
  <cp:lastPrinted>2016-03-30T08:51:00Z</cp:lastPrinted>
  <dcterms:created xsi:type="dcterms:W3CDTF">2026-05-10T08:37:00Z</dcterms:created>
  <dcterms:modified xsi:type="dcterms:W3CDTF">2026-05-11T11:13:00Z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2026-05-11T11:13:12Z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2abcafba-05cd-41b5-9801-410694089c5f</vt:lpwstr>
  </property>
  <property fmtid="{D5CDD505-2E9C-101B-9397-08002B2CF9AE}" pid="8" name="MSIP_Label_f061b9f0-8104-4829-9a4c-b0eb99e4c8fa_ContentBits">
    <vt:lpwstr>0</vt:lpwstr>
  </property>
  <property fmtid="{D5CDD505-2E9C-101B-9397-08002B2CF9AE}" pid="9" name="MSIP_Label_f061b9f0-8104-4829-9a4c-b0eb99e4c8fa_Tag">
    <vt:lpwstr>10, 3, 0, 1</vt:lpwstr>
  </property>
</Properties>
</file>